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EE" w:rsidRDefault="000A5D81" w:rsidP="00E508EE">
      <w:pPr>
        <w:widowControl/>
        <w:shd w:val="clear" w:color="auto" w:fill="FFFFFF"/>
        <w:snapToGrid w:val="0"/>
        <w:spacing w:line="360" w:lineRule="auto"/>
        <w:jc w:val="center"/>
        <w:rPr>
          <w:rFonts w:ascii="宋体" w:eastAsia="宋体" w:hAnsi="宋体" w:cs="宋体" w:hint="eastAsia"/>
          <w:b/>
          <w:bCs/>
          <w:color w:val="333333"/>
          <w:kern w:val="0"/>
          <w:sz w:val="48"/>
          <w:szCs w:val="48"/>
        </w:rPr>
      </w:pPr>
      <w:r w:rsidRPr="000A5D81">
        <w:rPr>
          <w:rFonts w:ascii="Calibri" w:eastAsia="宋体" w:hAnsi="Calibri" w:cs="Calibri"/>
          <w:b/>
          <w:bCs/>
          <w:color w:val="333333"/>
          <w:kern w:val="0"/>
          <w:sz w:val="48"/>
          <w:szCs w:val="48"/>
        </w:rPr>
        <w:t>2022</w:t>
      </w:r>
      <w:r w:rsidRPr="000A5D81">
        <w:rPr>
          <w:rFonts w:ascii="Calibri" w:eastAsia="宋体" w:hAnsi="Calibri" w:cs="Calibri"/>
          <w:b/>
          <w:bCs/>
          <w:color w:val="333333"/>
          <w:kern w:val="0"/>
          <w:sz w:val="48"/>
          <w:szCs w:val="48"/>
        </w:rPr>
        <w:t>年</w:t>
      </w:r>
      <w:r w:rsidRPr="000A5D81">
        <w:rPr>
          <w:rFonts w:ascii="宋体" w:eastAsia="宋体" w:hAnsi="宋体" w:cs="宋体" w:hint="eastAsia"/>
          <w:b/>
          <w:bCs/>
          <w:color w:val="333333"/>
          <w:kern w:val="0"/>
          <w:sz w:val="48"/>
          <w:szCs w:val="48"/>
        </w:rPr>
        <w:t>风险管控报告</w:t>
      </w:r>
    </w:p>
    <w:p w:rsidR="000A5D81" w:rsidRPr="000A5D81" w:rsidRDefault="000A5D81" w:rsidP="00E508EE">
      <w:pPr>
        <w:widowControl/>
        <w:shd w:val="clear" w:color="auto" w:fill="FFFFFF"/>
        <w:snapToGrid w:val="0"/>
        <w:spacing w:line="360" w:lineRule="auto"/>
        <w:jc w:val="center"/>
        <w:rPr>
          <w:rFonts w:ascii="Verdana" w:eastAsia="宋体" w:hAnsi="Verdana" w:cs="宋体"/>
          <w:color w:val="333333"/>
          <w:kern w:val="0"/>
          <w:sz w:val="16"/>
          <w:szCs w:val="19"/>
        </w:rPr>
      </w:pPr>
      <w:r w:rsidRPr="000A5D81">
        <w:rPr>
          <w:rFonts w:ascii="宋体" w:eastAsia="宋体" w:hAnsi="宋体" w:cs="宋体" w:hint="eastAsia"/>
          <w:b/>
          <w:bCs/>
          <w:color w:val="333333"/>
          <w:kern w:val="0"/>
          <w:sz w:val="40"/>
          <w:szCs w:val="48"/>
        </w:rPr>
        <w:t>（2022年一季度）</w:t>
      </w:r>
    </w:p>
    <w:p w:rsidR="000A5D81" w:rsidRPr="000A5D81" w:rsidRDefault="000A5D81" w:rsidP="000A5D81">
      <w:pPr>
        <w:widowControl/>
        <w:shd w:val="clear" w:color="auto" w:fill="FFFFFF"/>
        <w:snapToGrid w:val="0"/>
        <w:spacing w:line="360" w:lineRule="auto"/>
        <w:ind w:firstLine="600"/>
        <w:jc w:val="left"/>
        <w:rPr>
          <w:rFonts w:ascii="Verdana" w:eastAsia="宋体" w:hAnsi="Verdana" w:cs="宋体"/>
          <w:color w:val="333333"/>
          <w:kern w:val="0"/>
          <w:sz w:val="19"/>
          <w:szCs w:val="19"/>
        </w:rPr>
      </w:pPr>
      <w:r w:rsidRPr="000A5D81">
        <w:rPr>
          <w:rFonts w:ascii="楷体" w:eastAsia="楷体" w:hAnsi="楷体" w:cs="宋体" w:hint="eastAsia"/>
          <w:color w:val="333333"/>
          <w:kern w:val="0"/>
          <w:sz w:val="30"/>
          <w:szCs w:val="30"/>
        </w:rPr>
        <w:t>为贯彻“安全第一、预防为主、综合治理”的安全生产方针，熟练掌握风险分级管控体系建设工作，完善我公司安全生产标准化工作，通过定期的风险评价能够准确推断生产装置存在的要紧危险、有害因素等，及时提出相应操纵手段和防护措施。</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一、风险点确定</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发动全员对所有工作场所、设备设施及作业活动进行全方位、全过程的分析排查，确定风险点。</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风险点的确定应遵循“大小适中、便于分类、功能独立、易于管理、范围清晰”的原则。对于操作难度大、技术含量高、风险等级高、可能导致严重后果的作业活动应作为风险点。</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二、危险源辨识</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按照人的不安全行为、物的不安全状态、环境因素、管理缺陷四个方面进行危险源辨识。</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1、人的不安全行为：冒险进入危险场所；操作不当，忽视安全警告；用手代替工具操作；站位不当;机器运转时加油、修理、检查、调整、焊接、清扫等工作;注意力分散;不规范使用劳动防护用品等。</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2、物的不安全状态：物体本身存在的缺陷；防护保险方面的缺陷；作业场所的缺陷；保护器具信号、标志和个体防护用品的缺陷等。</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3、环境因素：生产作业环境中的温度、湿度、噪声、振动、照明或通风防尘等方面的问题。</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lastRenderedPageBreak/>
        <w:t>4、管理缺陷：主要指设计不符合规程要求；无制度、无措施，制度、措施无针对性或落实不到位；现场发生变化时制度、措施更新不及时等。</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三、风险分级</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危险源是通过风险评价（采用作业条件危险性分析法：LEC法）计算出风险值，按照风险等级划分标准确定危险源等级，LEC法的步骤如下：</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1、作业条件危险性分析法用与系统风险有关的三种因素之积来评价操作人员伤亡风险大小，这三种因素是：L (事故发生的可能性)，E (人员暴露于危险环境中的频繁程度)和C(一旦发生事故可能造成的后果的严重性)。其赋分标准见表1～表3。</w:t>
      </w:r>
    </w:p>
    <w:p w:rsidR="000A5D81" w:rsidRPr="000A5D81" w:rsidRDefault="000A5D81" w:rsidP="000A5D81">
      <w:pPr>
        <w:widowControl/>
        <w:snapToGrid w:val="0"/>
        <w:spacing w:line="360" w:lineRule="auto"/>
        <w:jc w:val="left"/>
        <w:rPr>
          <w:rFonts w:ascii="宋体" w:eastAsia="宋体" w:hAnsi="宋体" w:cs="宋体"/>
          <w:kern w:val="0"/>
          <w:sz w:val="24"/>
          <w:szCs w:val="24"/>
        </w:rPr>
      </w:pPr>
      <w:r w:rsidRPr="000A5D81">
        <w:rPr>
          <w:rFonts w:ascii="楷体" w:eastAsia="楷体" w:hAnsi="楷体" w:cs="宋体" w:hint="eastAsia"/>
          <w:b/>
          <w:bCs/>
          <w:color w:val="333333"/>
          <w:kern w:val="0"/>
          <w:sz w:val="28"/>
          <w:szCs w:val="28"/>
          <w:shd w:val="clear" w:color="auto" w:fill="FFFFFF"/>
        </w:rPr>
        <w:br w:type="textWrapping" w:clear="all"/>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宋体" w:eastAsia="宋体" w:hAnsi="宋体" w:cs="宋体" w:hint="eastAsia"/>
          <w:b/>
          <w:bCs/>
          <w:color w:val="333333"/>
          <w:kern w:val="0"/>
          <w:sz w:val="28"/>
          <w:szCs w:val="28"/>
        </w:rPr>
        <w:t>  </w:t>
      </w:r>
    </w:p>
    <w:p w:rsidR="000A5D81" w:rsidRPr="000A5D81" w:rsidRDefault="000A5D81" w:rsidP="000A5D81">
      <w:pPr>
        <w:widowControl/>
        <w:shd w:val="clear" w:color="auto" w:fill="FFFFFF"/>
        <w:snapToGrid w:val="0"/>
        <w:spacing w:line="360" w:lineRule="auto"/>
        <w:jc w:val="center"/>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表1 事故发生的可能性(L)</w:t>
      </w:r>
    </w:p>
    <w:tbl>
      <w:tblPr>
        <w:tblW w:w="0" w:type="auto"/>
        <w:jc w:val="center"/>
        <w:tblCellMar>
          <w:left w:w="0" w:type="dxa"/>
          <w:right w:w="0" w:type="dxa"/>
        </w:tblCellMar>
        <w:tblLook w:val="04A0"/>
      </w:tblPr>
      <w:tblGrid>
        <w:gridCol w:w="1057"/>
        <w:gridCol w:w="3393"/>
        <w:gridCol w:w="1132"/>
        <w:gridCol w:w="2940"/>
      </w:tblGrid>
      <w:tr w:rsidR="000A5D81" w:rsidRPr="000A5D81" w:rsidTr="000A5D81">
        <w:trPr>
          <w:jc w:val="center"/>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事故发生的可能性</w:t>
            </w:r>
          </w:p>
        </w:tc>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事故发生的可能性</w:t>
            </w:r>
          </w:p>
        </w:tc>
      </w:tr>
      <w:tr w:rsidR="000A5D81" w:rsidRPr="000A5D81" w:rsidTr="000A5D81">
        <w:trPr>
          <w:jc w:val="center"/>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10</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完全可以预料</w:t>
            </w:r>
          </w:p>
        </w:tc>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0.5</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很不可能，可以设想</w:t>
            </w:r>
          </w:p>
        </w:tc>
      </w:tr>
      <w:tr w:rsidR="000A5D81" w:rsidRPr="000A5D81" w:rsidTr="000A5D81">
        <w:trPr>
          <w:trHeight w:val="208"/>
          <w:jc w:val="center"/>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6</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相当可能</w:t>
            </w:r>
          </w:p>
        </w:tc>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0.2</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极不可能</w:t>
            </w:r>
          </w:p>
        </w:tc>
      </w:tr>
      <w:tr w:rsidR="000A5D81" w:rsidRPr="000A5D81" w:rsidTr="000A5D81">
        <w:trPr>
          <w:jc w:val="center"/>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3</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可能但不经常</w:t>
            </w:r>
          </w:p>
        </w:tc>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0.1</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实际不可能</w:t>
            </w:r>
          </w:p>
        </w:tc>
      </w:tr>
      <w:tr w:rsidR="000A5D81" w:rsidRPr="000A5D81" w:rsidTr="000A5D81">
        <w:trPr>
          <w:jc w:val="center"/>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w:t>
            </w:r>
          </w:p>
        </w:tc>
        <w:tc>
          <w:tcPr>
            <w:tcW w:w="3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可能性小，完全意外</w:t>
            </w:r>
          </w:p>
        </w:tc>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宋体" w:eastAsia="宋体" w:hAnsi="宋体" w:cs="宋体" w:hint="eastAsia"/>
                <w:kern w:val="0"/>
                <w:sz w:val="28"/>
                <w:szCs w:val="28"/>
              </w:rPr>
              <w:t> </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宋体" w:eastAsia="宋体" w:hAnsi="宋体" w:cs="宋体" w:hint="eastAsia"/>
                <w:kern w:val="0"/>
                <w:sz w:val="28"/>
                <w:szCs w:val="28"/>
              </w:rPr>
              <w:t> </w:t>
            </w:r>
          </w:p>
        </w:tc>
      </w:tr>
    </w:tbl>
    <w:p w:rsidR="000A5D81" w:rsidRPr="000A5D81" w:rsidRDefault="000A5D81" w:rsidP="000A5D81">
      <w:pPr>
        <w:widowControl/>
        <w:shd w:val="clear" w:color="auto" w:fill="FFFFFF"/>
        <w:snapToGrid w:val="0"/>
        <w:spacing w:line="360" w:lineRule="auto"/>
        <w:jc w:val="center"/>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表2 人员暴露于危险环境中的频繁程度(E)</w:t>
      </w:r>
    </w:p>
    <w:tbl>
      <w:tblPr>
        <w:tblW w:w="0" w:type="auto"/>
        <w:jc w:val="center"/>
        <w:tblCellMar>
          <w:left w:w="0" w:type="dxa"/>
          <w:right w:w="0" w:type="dxa"/>
        </w:tblCellMar>
        <w:tblLook w:val="04A0"/>
      </w:tblPr>
      <w:tblGrid>
        <w:gridCol w:w="1367"/>
        <w:gridCol w:w="2597"/>
        <w:gridCol w:w="1059"/>
        <w:gridCol w:w="3499"/>
      </w:tblGrid>
      <w:tr w:rsidR="000A5D81" w:rsidRPr="000A5D81" w:rsidTr="000A5D81">
        <w:trPr>
          <w:jc w:val="center"/>
        </w:trPr>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人员暴露于危险环境中的频繁程度</w:t>
            </w:r>
          </w:p>
        </w:tc>
        <w:tc>
          <w:tcPr>
            <w:tcW w:w="1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人员暴露于危险环境中的频繁程度</w:t>
            </w:r>
          </w:p>
        </w:tc>
      </w:tr>
      <w:tr w:rsidR="000A5D81" w:rsidRPr="000A5D81" w:rsidTr="000A5D81">
        <w:trPr>
          <w:jc w:val="center"/>
        </w:trPr>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10</w:t>
            </w:r>
          </w:p>
        </w:tc>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连续暴露</w:t>
            </w:r>
          </w:p>
        </w:tc>
        <w:tc>
          <w:tcPr>
            <w:tcW w:w="1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2</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每月一次暴露</w:t>
            </w:r>
          </w:p>
        </w:tc>
      </w:tr>
      <w:tr w:rsidR="000A5D81" w:rsidRPr="000A5D81" w:rsidTr="000A5D81">
        <w:trPr>
          <w:jc w:val="center"/>
        </w:trPr>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6</w:t>
            </w:r>
          </w:p>
        </w:tc>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每天工作时间内暴</w:t>
            </w:r>
            <w:r w:rsidRPr="000A5D81">
              <w:rPr>
                <w:rFonts w:ascii="楷体" w:eastAsia="楷体" w:hAnsi="楷体" w:cs="宋体" w:hint="eastAsia"/>
                <w:kern w:val="0"/>
                <w:sz w:val="28"/>
                <w:szCs w:val="28"/>
              </w:rPr>
              <w:lastRenderedPageBreak/>
              <w:t>露</w:t>
            </w:r>
          </w:p>
        </w:tc>
        <w:tc>
          <w:tcPr>
            <w:tcW w:w="1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lastRenderedPageBreak/>
              <w:t>1</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每年几次暴露</w:t>
            </w:r>
          </w:p>
        </w:tc>
      </w:tr>
      <w:tr w:rsidR="000A5D81" w:rsidRPr="000A5D81" w:rsidTr="000A5D81">
        <w:trPr>
          <w:jc w:val="center"/>
        </w:trPr>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lastRenderedPageBreak/>
              <w:t>3</w:t>
            </w:r>
          </w:p>
        </w:tc>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每周一次或偶然暴露</w:t>
            </w:r>
          </w:p>
        </w:tc>
        <w:tc>
          <w:tcPr>
            <w:tcW w:w="1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0.5</w:t>
            </w:r>
          </w:p>
        </w:tc>
        <w:tc>
          <w:tcPr>
            <w:tcW w:w="3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非常罕见的暴露(&lt;1次/年)</w:t>
            </w:r>
          </w:p>
        </w:tc>
      </w:tr>
    </w:tbl>
    <w:p w:rsidR="000A5D81" w:rsidRPr="000A5D81" w:rsidRDefault="000A5D81" w:rsidP="000A5D81">
      <w:pPr>
        <w:widowControl/>
        <w:shd w:val="clear" w:color="auto" w:fill="FFFFFF"/>
        <w:snapToGrid w:val="0"/>
        <w:spacing w:line="360" w:lineRule="auto"/>
        <w:jc w:val="center"/>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表3 发生事故可能造成的后果的严重性(C)</w:t>
      </w:r>
    </w:p>
    <w:tbl>
      <w:tblPr>
        <w:tblW w:w="0" w:type="auto"/>
        <w:jc w:val="center"/>
        <w:tblCellMar>
          <w:left w:w="0" w:type="dxa"/>
          <w:right w:w="0" w:type="dxa"/>
        </w:tblCellMar>
        <w:tblLook w:val="04A0"/>
      </w:tblPr>
      <w:tblGrid>
        <w:gridCol w:w="1096"/>
        <w:gridCol w:w="3407"/>
        <w:gridCol w:w="1123"/>
        <w:gridCol w:w="2896"/>
      </w:tblGrid>
      <w:tr w:rsidR="000A5D81" w:rsidRPr="000A5D81" w:rsidTr="000A5D81">
        <w:trPr>
          <w:trHeight w:val="263"/>
          <w:jc w:val="center"/>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发生事故可能造成的后果</w:t>
            </w:r>
          </w:p>
        </w:tc>
        <w:tc>
          <w:tcPr>
            <w:tcW w:w="1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2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发生事故可能造成的后果</w:t>
            </w:r>
          </w:p>
        </w:tc>
      </w:tr>
      <w:tr w:rsidR="000A5D81" w:rsidRPr="000A5D81" w:rsidTr="000A5D81">
        <w:trPr>
          <w:jc w:val="center"/>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100</w:t>
            </w:r>
          </w:p>
        </w:tc>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大灾难，许多人死亡，或造成重大财产损失</w:t>
            </w:r>
          </w:p>
        </w:tc>
        <w:tc>
          <w:tcPr>
            <w:tcW w:w="1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7</w:t>
            </w:r>
          </w:p>
        </w:tc>
        <w:tc>
          <w:tcPr>
            <w:tcW w:w="2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严重，重伤，或造成较小的财产损失</w:t>
            </w:r>
          </w:p>
        </w:tc>
      </w:tr>
      <w:tr w:rsidR="000A5D81" w:rsidRPr="000A5D81" w:rsidTr="000A5D81">
        <w:trPr>
          <w:jc w:val="center"/>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40</w:t>
            </w:r>
          </w:p>
        </w:tc>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灾难，数人死亡，或造成很大财产损失</w:t>
            </w:r>
          </w:p>
        </w:tc>
        <w:tc>
          <w:tcPr>
            <w:tcW w:w="1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4</w:t>
            </w:r>
          </w:p>
        </w:tc>
        <w:tc>
          <w:tcPr>
            <w:tcW w:w="2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重大，致残，或很小的财产损失</w:t>
            </w:r>
          </w:p>
        </w:tc>
      </w:tr>
      <w:tr w:rsidR="000A5D81" w:rsidRPr="000A5D81" w:rsidTr="000A5D81">
        <w:trPr>
          <w:jc w:val="center"/>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15</w:t>
            </w:r>
          </w:p>
        </w:tc>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非常严重，一人死亡，或造成一定的财产损失</w:t>
            </w:r>
          </w:p>
        </w:tc>
        <w:tc>
          <w:tcPr>
            <w:tcW w:w="1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w:t>
            </w:r>
          </w:p>
        </w:tc>
        <w:tc>
          <w:tcPr>
            <w:tcW w:w="2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引人注目，不利于基本的安全健康要求</w:t>
            </w:r>
          </w:p>
        </w:tc>
      </w:tr>
    </w:tbl>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2、由评价小组专家共同确定每一危险源的LEC各项分值，然后再以三个分值的乘积来评价作业条件危险性的大小，即：D=L·E·C。</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3、将D值与危险性等级划分标准中的分值相比较，进行风险等级划分。根据风险值D的大小进行风险等级划分，见表4。</w:t>
      </w:r>
    </w:p>
    <w:p w:rsidR="000A5D81" w:rsidRPr="000A5D81" w:rsidRDefault="000A5D81" w:rsidP="000A5D81">
      <w:pPr>
        <w:widowControl/>
        <w:shd w:val="clear" w:color="auto" w:fill="FFFFFF"/>
        <w:snapToGrid w:val="0"/>
        <w:spacing w:line="360" w:lineRule="auto"/>
        <w:jc w:val="center"/>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表4风险等级划分</w:t>
      </w:r>
    </w:p>
    <w:tbl>
      <w:tblPr>
        <w:tblW w:w="0" w:type="auto"/>
        <w:jc w:val="center"/>
        <w:tblCellMar>
          <w:left w:w="0" w:type="dxa"/>
          <w:right w:w="0" w:type="dxa"/>
        </w:tblCellMar>
        <w:tblLook w:val="04A0"/>
      </w:tblPr>
      <w:tblGrid>
        <w:gridCol w:w="2009"/>
        <w:gridCol w:w="1892"/>
        <w:gridCol w:w="4621"/>
      </w:tblGrid>
      <w:tr w:rsidR="000A5D81" w:rsidRPr="000A5D81" w:rsidTr="000A5D81">
        <w:trPr>
          <w:trHeight w:val="241"/>
          <w:jc w:val="center"/>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分数值</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风险级别</w:t>
            </w:r>
          </w:p>
        </w:tc>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危险程度</w:t>
            </w:r>
          </w:p>
        </w:tc>
      </w:tr>
      <w:tr w:rsidR="000A5D81" w:rsidRPr="000A5D81" w:rsidTr="000A5D81">
        <w:trPr>
          <w:jc w:val="center"/>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＞320</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1（红色）</w:t>
            </w:r>
          </w:p>
        </w:tc>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极其危险，不能继续作业(立即停止作业)</w:t>
            </w:r>
          </w:p>
        </w:tc>
      </w:tr>
      <w:tr w:rsidR="000A5D81" w:rsidRPr="000A5D81" w:rsidTr="000A5D81">
        <w:trPr>
          <w:jc w:val="center"/>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160～320</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2（橙色）</w:t>
            </w:r>
          </w:p>
        </w:tc>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高度危险，需立即整改(制定管理方案及应急预案)</w:t>
            </w:r>
          </w:p>
        </w:tc>
      </w:tr>
      <w:tr w:rsidR="000A5D81" w:rsidRPr="000A5D81" w:rsidTr="000A5D81">
        <w:trPr>
          <w:jc w:val="center"/>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70～159</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3（黄色）</w:t>
            </w:r>
          </w:p>
        </w:tc>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显著危险，需要整改(编制管理方案)</w:t>
            </w:r>
          </w:p>
        </w:tc>
      </w:tr>
      <w:tr w:rsidR="000A5D81" w:rsidRPr="000A5D81" w:rsidTr="000A5D81">
        <w:trPr>
          <w:jc w:val="center"/>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≤69</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4（蓝色）</w:t>
            </w:r>
          </w:p>
        </w:tc>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一般或有危险，需要注意</w:t>
            </w:r>
          </w:p>
        </w:tc>
      </w:tr>
      <w:tr w:rsidR="000A5D81" w:rsidRPr="000A5D81" w:rsidTr="000A5D81">
        <w:trPr>
          <w:jc w:val="center"/>
        </w:trPr>
        <w:tc>
          <w:tcPr>
            <w:tcW w:w="85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D81" w:rsidRPr="000A5D81" w:rsidRDefault="000A5D81" w:rsidP="000A5D81">
            <w:pPr>
              <w:widowControl/>
              <w:snapToGrid w:val="0"/>
              <w:spacing w:line="360" w:lineRule="auto"/>
              <w:jc w:val="center"/>
              <w:rPr>
                <w:rFonts w:ascii="宋体" w:eastAsia="宋体" w:hAnsi="宋体" w:cs="宋体"/>
                <w:kern w:val="0"/>
                <w:sz w:val="24"/>
                <w:szCs w:val="24"/>
              </w:rPr>
            </w:pPr>
            <w:r w:rsidRPr="000A5D81">
              <w:rPr>
                <w:rFonts w:ascii="楷体" w:eastAsia="楷体" w:hAnsi="楷体" w:cs="宋体" w:hint="eastAsia"/>
                <w:kern w:val="0"/>
                <w:sz w:val="28"/>
                <w:szCs w:val="28"/>
              </w:rPr>
              <w:t>注：LEC法，危险等级的划分带有局限性，应用时要根据实际情况，</w:t>
            </w:r>
            <w:r w:rsidRPr="000A5D81">
              <w:rPr>
                <w:rFonts w:ascii="楷体" w:eastAsia="楷体" w:hAnsi="楷体" w:cs="宋体" w:hint="eastAsia"/>
                <w:kern w:val="0"/>
                <w:sz w:val="28"/>
                <w:szCs w:val="28"/>
              </w:rPr>
              <w:lastRenderedPageBreak/>
              <w:t>实施时组织有经验的作业人员参与。</w:t>
            </w:r>
          </w:p>
        </w:tc>
      </w:tr>
    </w:tbl>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lastRenderedPageBreak/>
        <w:t>四、风险管控</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风险分级管控应遵循风险越高管控层级越高的原则，对于操作难度大、技术含量高、风险等级高、可能导致严重后果的作业活动应重点进行管控。上一级负责管控的风险，下一级必须同时负责管控，并逐级落实具体措施。</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1级：</w:t>
      </w:r>
      <w:r w:rsidRPr="000A5D81">
        <w:rPr>
          <w:rFonts w:ascii="楷体" w:eastAsia="楷体" w:hAnsi="楷体" w:cs="宋体" w:hint="eastAsia"/>
          <w:color w:val="333333"/>
          <w:kern w:val="0"/>
          <w:sz w:val="28"/>
          <w:szCs w:val="28"/>
        </w:rPr>
        <w:t>重大风险(红色)，由公司负责管控。由公司安全科和各相关部门具体落实；当风险危及到作业安全时，应立即停止作业，限期治理，直至风险降低后才能开始工作。</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2级：</w:t>
      </w:r>
      <w:r w:rsidRPr="000A5D81">
        <w:rPr>
          <w:rFonts w:ascii="楷体" w:eastAsia="楷体" w:hAnsi="楷体" w:cs="宋体" w:hint="eastAsia"/>
          <w:color w:val="333333"/>
          <w:kern w:val="0"/>
          <w:sz w:val="28"/>
          <w:szCs w:val="28"/>
        </w:rPr>
        <w:t>较大风险(橙色)，由车间负责管控。负责制定管理制度、规定及改进措施；所属车间负责制度的宣传、落实。</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3级：</w:t>
      </w:r>
      <w:r w:rsidRPr="000A5D81">
        <w:rPr>
          <w:rFonts w:ascii="楷体" w:eastAsia="楷体" w:hAnsi="楷体" w:cs="宋体" w:hint="eastAsia"/>
          <w:color w:val="333333"/>
          <w:kern w:val="0"/>
          <w:sz w:val="28"/>
          <w:szCs w:val="28"/>
        </w:rPr>
        <w:t>一般风险(黄色)，由车间各相关部门负责管控。负责考虑效果更佳的解决方案、改进现有控制措施降低风险。各部门负责日常的监控运行，确保控制措施得以维持安全状态。</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4级：</w:t>
      </w:r>
      <w:r w:rsidRPr="000A5D81">
        <w:rPr>
          <w:rFonts w:ascii="楷体" w:eastAsia="楷体" w:hAnsi="楷体" w:cs="宋体" w:hint="eastAsia"/>
          <w:color w:val="333333"/>
          <w:kern w:val="0"/>
          <w:sz w:val="28"/>
          <w:szCs w:val="28"/>
        </w:rPr>
        <w:t>低风险(蓝色)，由班组负责管控。岗位作业人员负责日常的监控运行。通过设置警示标识、交接班告知等方式，提升作业人员风险意识。</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五、管控措施</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按如下顺序制定控制措施：工程技术措施、管理措施、培训教育措施、个体防护措施、应急处置措施等。</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1、对确定为重大风险的，应尽可能地采取较高级的风险控制方法，并多级控制。对重大风险以外的风险，应重点对人为失误的控制、固有危险的控制而制定控制措施。</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lastRenderedPageBreak/>
        <w:t>2、从工程控制、管理措施、培训教育、个体防护、应急处置等方面评估现有控制措施的有效性。现有控制措施不足以控制此项风险，应提出建议或改进的控制措施。</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3、设备设施类危险源的控制措施应包括：安全阀、限位、工艺设备本身带有的控制措施和消防、检查、检验等常规的管理措施。</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4、作业活动类危险源的控制措施应包括：制度完善性、管理流程合理性、作业环境可控性、作业对象完好状态及作业人员素质等方面。</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5、不同级别的风险要结合实际采取一种或多种措施进行控制，直至风险可以接受。</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六、信息建档管理</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各部门负责将安全风险管控分析、讨论结果汇总，汇总后上报公司“双重预防机制”建设领导小组审核，审核通过后由公司安全科负责建立安全风险管控电子档案。</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各岗位作业人员发现新的风险点或管控措施不力或失效等问题时，应及时上报班组，班组汇总上报车间、车间制定或修改管控措施后上报公司安全科，安全科组织审核通过后，对风险管控档案进行更新，从而实现风险管控体系的及时更新完善。</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七、各部门和车间职责分工</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（一）各车间负责人职责</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（1）按照风险分级管控体系建设实施方案、制度的要求进行落实。</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（2）负责职责范围内的风险点确立、风险分级及管控措施编制等工作。</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lastRenderedPageBreak/>
        <w:t>（3）根据现场变化、工艺改进、技术更新及新材料、新设备的应用，对管控体系持续更新，确保与现场现场相符。</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（4）负责对分管范围的员工进行培训，确保员工熟知本岗位的风险点、危险源名称及管控措施。</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（二）班组长职责</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（1）落实本公司“双重预防机制”建设相关制度、文件学习工作；</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（2）组织本班组的危险源辨识、风险分级及管控措施上报等工作；</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（3）根据实际作业情况，发现新的安全隐患或者管控措施失效的，及时汇总、上报本单位相关负责人；</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（4）负责对班组的员工进行培训，确保员工熟知本岗位的风险点、危险源及管控措施，并在作业时监督、检查管控措施的落实情况。</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（三）生产车间</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车间内各个部门班组负责本车间内相关风险点内危险源排查、风险点及危险源分级、管控措施制定，并最终汇总，由部门负责人、专业技术人员、班组长进行审核，将最终版上报安全科。</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（四）安全科工作任务</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负责各车间、部室工作任务的统一协调、指挥，将各单位上报的最终版进行整理汇总，组织“双重预防机制”建设领导小组、相关专业技术人员、班组长进行讨论、修订。</w:t>
      </w:r>
    </w:p>
    <w:p w:rsidR="000A5D81" w:rsidRPr="000A5D81" w:rsidRDefault="000A5D81" w:rsidP="000A5D81">
      <w:pPr>
        <w:widowControl/>
        <w:shd w:val="clear" w:color="auto" w:fill="FFFFFF"/>
        <w:snapToGrid w:val="0"/>
        <w:spacing w:line="360" w:lineRule="auto"/>
        <w:rPr>
          <w:rFonts w:ascii="Verdana" w:eastAsia="宋体" w:hAnsi="Verdana" w:cs="宋体"/>
          <w:color w:val="333333"/>
          <w:kern w:val="0"/>
          <w:sz w:val="19"/>
          <w:szCs w:val="19"/>
        </w:rPr>
      </w:pPr>
      <w:r w:rsidRPr="000A5D81">
        <w:rPr>
          <w:rFonts w:ascii="楷体" w:eastAsia="楷体" w:hAnsi="楷体" w:cs="宋体" w:hint="eastAsia"/>
          <w:b/>
          <w:bCs/>
          <w:color w:val="333333"/>
          <w:kern w:val="0"/>
          <w:sz w:val="28"/>
          <w:szCs w:val="28"/>
        </w:rPr>
        <w:t>八、安全风险告知</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000000"/>
          <w:kern w:val="0"/>
          <w:sz w:val="28"/>
          <w:szCs w:val="28"/>
        </w:rPr>
        <w:t>公司各单位结合所形成的风险告知，制定悬挂“安全风险告知牌板”，在各作业场所设置“安全风险告知栏”等形式进一步加大对员工的安全宣传教育。</w:t>
      </w:r>
    </w:p>
    <w:p w:rsidR="000A5D81" w:rsidRPr="000A5D81" w:rsidRDefault="000A5D81" w:rsidP="000A5D81">
      <w:pPr>
        <w:widowControl/>
        <w:shd w:val="clear" w:color="auto" w:fill="FFFFFF"/>
        <w:snapToGrid w:val="0"/>
        <w:spacing w:line="360" w:lineRule="auto"/>
        <w:ind w:firstLine="560"/>
        <w:rPr>
          <w:rFonts w:ascii="Verdana" w:eastAsia="宋体" w:hAnsi="Verdana" w:cs="宋体"/>
          <w:color w:val="333333"/>
          <w:kern w:val="0"/>
          <w:sz w:val="19"/>
          <w:szCs w:val="19"/>
        </w:rPr>
      </w:pPr>
      <w:r w:rsidRPr="000A5D81">
        <w:rPr>
          <w:rFonts w:ascii="楷体" w:eastAsia="楷体" w:hAnsi="楷体" w:cs="宋体" w:hint="eastAsia"/>
          <w:color w:val="000000"/>
          <w:kern w:val="0"/>
          <w:sz w:val="28"/>
          <w:szCs w:val="28"/>
        </w:rPr>
        <w:lastRenderedPageBreak/>
        <w:t>公司各单位充分利用“班前会”、</w:t>
      </w:r>
      <w:r w:rsidRPr="000A5D81">
        <w:rPr>
          <w:rFonts w:ascii="楷体" w:eastAsia="楷体" w:hAnsi="楷体" w:cs="宋体" w:hint="eastAsia"/>
          <w:color w:val="333333"/>
          <w:kern w:val="0"/>
          <w:sz w:val="28"/>
          <w:szCs w:val="28"/>
        </w:rPr>
        <w:t>“日常培训”等活动组织全体职工进行学习，使每位职工都能够熟悉自身周围存在的安全风险及相应的管控措施，真正实现风险预知、预控。</w:t>
      </w:r>
    </w:p>
    <w:p w:rsidR="000A5D81" w:rsidRDefault="000A5D81" w:rsidP="000A5D81">
      <w:pPr>
        <w:widowControl/>
        <w:shd w:val="clear" w:color="auto" w:fill="FFFFFF"/>
        <w:snapToGrid w:val="0"/>
        <w:spacing w:line="360" w:lineRule="auto"/>
        <w:ind w:firstLine="592"/>
        <w:jc w:val="right"/>
        <w:rPr>
          <w:rFonts w:ascii="宋体" w:eastAsia="宋体" w:hAnsi="宋体" w:cs="宋体" w:hint="eastAsia"/>
          <w:color w:val="333333"/>
          <w:kern w:val="0"/>
          <w:sz w:val="28"/>
          <w:szCs w:val="28"/>
        </w:rPr>
      </w:pPr>
    </w:p>
    <w:p w:rsidR="000A5D81" w:rsidRDefault="000A5D81" w:rsidP="000A5D81">
      <w:pPr>
        <w:widowControl/>
        <w:shd w:val="clear" w:color="auto" w:fill="FFFFFF"/>
        <w:snapToGrid w:val="0"/>
        <w:spacing w:line="360" w:lineRule="auto"/>
        <w:ind w:firstLine="592"/>
        <w:jc w:val="right"/>
        <w:rPr>
          <w:rFonts w:ascii="宋体" w:eastAsia="宋体" w:hAnsi="宋体" w:cs="宋体" w:hint="eastAsia"/>
          <w:color w:val="333333"/>
          <w:kern w:val="0"/>
          <w:sz w:val="28"/>
          <w:szCs w:val="28"/>
        </w:rPr>
      </w:pPr>
    </w:p>
    <w:p w:rsidR="000A5D81" w:rsidRDefault="000A5D81" w:rsidP="000A5D81">
      <w:pPr>
        <w:widowControl/>
        <w:shd w:val="clear" w:color="auto" w:fill="FFFFFF"/>
        <w:snapToGrid w:val="0"/>
        <w:spacing w:line="360" w:lineRule="auto"/>
        <w:ind w:firstLine="592"/>
        <w:jc w:val="right"/>
        <w:rPr>
          <w:rFonts w:ascii="楷体" w:eastAsia="楷体" w:hAnsi="楷体" w:cs="宋体" w:hint="eastAsia"/>
          <w:color w:val="333333"/>
          <w:kern w:val="0"/>
          <w:sz w:val="28"/>
          <w:szCs w:val="28"/>
        </w:rPr>
      </w:pPr>
      <w:r w:rsidRPr="000A5D81">
        <w:rPr>
          <w:rFonts w:ascii="楷体" w:eastAsia="楷体" w:hAnsi="楷体" w:cs="宋体" w:hint="eastAsia"/>
          <w:color w:val="333333"/>
          <w:kern w:val="0"/>
          <w:sz w:val="28"/>
          <w:szCs w:val="28"/>
        </w:rPr>
        <w:t>林西县恒富金属制品有限公司</w:t>
      </w:r>
    </w:p>
    <w:p w:rsidR="000A5D81" w:rsidRPr="000A5D81" w:rsidRDefault="000A5D81" w:rsidP="000A5D81">
      <w:pPr>
        <w:widowControl/>
        <w:shd w:val="clear" w:color="auto" w:fill="FFFFFF"/>
        <w:snapToGrid w:val="0"/>
        <w:spacing w:line="360" w:lineRule="auto"/>
        <w:ind w:firstLine="592"/>
        <w:jc w:val="right"/>
        <w:rPr>
          <w:rFonts w:ascii="Verdana" w:eastAsia="宋体" w:hAnsi="Verdana" w:cs="宋体"/>
          <w:color w:val="333333"/>
          <w:kern w:val="0"/>
          <w:sz w:val="19"/>
          <w:szCs w:val="19"/>
        </w:rPr>
      </w:pPr>
      <w:r w:rsidRPr="000A5D81">
        <w:rPr>
          <w:rFonts w:ascii="楷体" w:eastAsia="楷体" w:hAnsi="楷体" w:cs="宋体" w:hint="eastAsia"/>
          <w:color w:val="333333"/>
          <w:kern w:val="0"/>
          <w:sz w:val="28"/>
          <w:szCs w:val="28"/>
        </w:rPr>
        <w:t>二〇二二年四月二十一日</w:t>
      </w:r>
    </w:p>
    <w:p w:rsidR="000A5D81" w:rsidRPr="000A5D81" w:rsidRDefault="000A5D81" w:rsidP="000A5D81">
      <w:pPr>
        <w:widowControl/>
        <w:shd w:val="clear" w:color="auto" w:fill="FFFFFF"/>
        <w:snapToGrid w:val="0"/>
        <w:spacing w:line="360" w:lineRule="auto"/>
        <w:jc w:val="left"/>
        <w:rPr>
          <w:rFonts w:ascii="Verdana" w:eastAsia="宋体" w:hAnsi="Verdana" w:cs="宋体"/>
          <w:color w:val="333333"/>
          <w:kern w:val="0"/>
          <w:sz w:val="19"/>
          <w:szCs w:val="19"/>
        </w:rPr>
      </w:pPr>
      <w:r w:rsidRPr="000A5D81">
        <w:rPr>
          <w:rFonts w:ascii="Calibri" w:eastAsia="宋体" w:hAnsi="Calibri" w:cs="Calibri"/>
          <w:color w:val="333333"/>
          <w:kern w:val="0"/>
          <w:sz w:val="30"/>
          <w:szCs w:val="30"/>
        </w:rPr>
        <w:t>        </w:t>
      </w:r>
    </w:p>
    <w:p w:rsidR="008A69D0" w:rsidRDefault="008A69D0" w:rsidP="000A5D81">
      <w:pPr>
        <w:snapToGrid w:val="0"/>
        <w:spacing w:line="360" w:lineRule="auto"/>
      </w:pPr>
    </w:p>
    <w:sectPr w:rsidR="008A69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9D0" w:rsidRDefault="008A69D0" w:rsidP="000A5D81">
      <w:r>
        <w:separator/>
      </w:r>
    </w:p>
  </w:endnote>
  <w:endnote w:type="continuationSeparator" w:id="1">
    <w:p w:rsidR="008A69D0" w:rsidRDefault="008A69D0" w:rsidP="000A5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9D0" w:rsidRDefault="008A69D0" w:rsidP="000A5D81">
      <w:r>
        <w:separator/>
      </w:r>
    </w:p>
  </w:footnote>
  <w:footnote w:type="continuationSeparator" w:id="1">
    <w:p w:rsidR="008A69D0" w:rsidRDefault="008A69D0" w:rsidP="000A5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D81"/>
    <w:rsid w:val="000A5D81"/>
    <w:rsid w:val="008A69D0"/>
    <w:rsid w:val="00C8359B"/>
    <w:rsid w:val="00E50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D81"/>
    <w:rPr>
      <w:sz w:val="18"/>
      <w:szCs w:val="18"/>
    </w:rPr>
  </w:style>
  <w:style w:type="paragraph" w:styleId="a4">
    <w:name w:val="footer"/>
    <w:basedOn w:val="a"/>
    <w:link w:val="Char0"/>
    <w:uiPriority w:val="99"/>
    <w:semiHidden/>
    <w:unhideWhenUsed/>
    <w:rsid w:val="000A5D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D81"/>
    <w:rPr>
      <w:sz w:val="18"/>
      <w:szCs w:val="18"/>
    </w:rPr>
  </w:style>
</w:styles>
</file>

<file path=word/webSettings.xml><?xml version="1.0" encoding="utf-8"?>
<w:webSettings xmlns:r="http://schemas.openxmlformats.org/officeDocument/2006/relationships" xmlns:w="http://schemas.openxmlformats.org/wordprocessingml/2006/main">
  <w:divs>
    <w:div w:id="183715561">
      <w:bodyDiv w:val="1"/>
      <w:marLeft w:val="0"/>
      <w:marRight w:val="0"/>
      <w:marTop w:val="0"/>
      <w:marBottom w:val="0"/>
      <w:divBdr>
        <w:top w:val="none" w:sz="0" w:space="0" w:color="auto"/>
        <w:left w:val="none" w:sz="0" w:space="0" w:color="auto"/>
        <w:bottom w:val="none" w:sz="0" w:space="0" w:color="auto"/>
        <w:right w:val="none" w:sz="0" w:space="0" w:color="auto"/>
      </w:divBdr>
    </w:div>
    <w:div w:id="1677994685">
      <w:bodyDiv w:val="1"/>
      <w:marLeft w:val="0"/>
      <w:marRight w:val="0"/>
      <w:marTop w:val="0"/>
      <w:marBottom w:val="0"/>
      <w:divBdr>
        <w:top w:val="none" w:sz="0" w:space="0" w:color="auto"/>
        <w:left w:val="none" w:sz="0" w:space="0" w:color="auto"/>
        <w:bottom w:val="none" w:sz="0" w:space="0" w:color="auto"/>
        <w:right w:val="none" w:sz="0" w:space="0" w:color="auto"/>
      </w:divBdr>
    </w:div>
    <w:div w:id="20738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AJ07</dc:creator>
  <cp:keywords/>
  <dc:description/>
  <cp:lastModifiedBy>AJ07</cp:lastModifiedBy>
  <cp:revision>4</cp:revision>
  <dcterms:created xsi:type="dcterms:W3CDTF">2022-04-21T05:37:00Z</dcterms:created>
  <dcterms:modified xsi:type="dcterms:W3CDTF">2022-04-21T05:39:00Z</dcterms:modified>
</cp:coreProperties>
</file>